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2B11" w14:textId="44698DC3" w:rsidR="00FA65B5" w:rsidRDefault="00857314" w:rsidP="00857314">
      <w:pPr>
        <w:jc w:val="center"/>
        <w:rPr>
          <w:rFonts w:ascii="方正小标宋简体" w:eastAsia="方正小标宋简体"/>
          <w:sz w:val="36"/>
          <w:szCs w:val="36"/>
        </w:rPr>
      </w:pPr>
      <w:r w:rsidRPr="00857314">
        <w:rPr>
          <w:rFonts w:ascii="方正小标宋简体" w:eastAsia="方正小标宋简体" w:hint="eastAsia"/>
          <w:sz w:val="36"/>
          <w:szCs w:val="36"/>
        </w:rPr>
        <w:t>全日制普通本科学生综合素质测评规范</w:t>
      </w:r>
    </w:p>
    <w:p w14:paraId="5EFBBE5B"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为了加强学生思想教育和管理工作，促进学生综合素质的全面发展，制定本规范。</w:t>
      </w:r>
    </w:p>
    <w:p w14:paraId="7AC2A450"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黑体" w:eastAsia="黑体" w:hAnsi="黑体" w:cs="宋体" w:hint="eastAsia"/>
          <w:color w:val="333333"/>
          <w:kern w:val="0"/>
          <w:sz w:val="32"/>
          <w:szCs w:val="32"/>
        </w:rPr>
        <w:t>一、综合素质测评总体结构</w:t>
      </w:r>
    </w:p>
    <w:p w14:paraId="1826898D" w14:textId="77777777" w:rsidR="00857314" w:rsidRPr="00857314" w:rsidRDefault="00857314" w:rsidP="00857314">
      <w:pPr>
        <w:widowControl/>
        <w:shd w:val="clear" w:color="auto" w:fill="FFFFFF"/>
        <w:spacing w:after="150" w:line="240" w:lineRule="auto"/>
        <w:ind w:firstLine="512"/>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（一）指标体系</w:t>
      </w:r>
    </w:p>
    <w:tbl>
      <w:tblPr>
        <w:tblW w:w="0" w:type="auto"/>
        <w:jc w:val="center"/>
        <w:tblCellMar>
          <w:left w:w="0" w:type="dxa"/>
          <w:right w:w="0" w:type="dxa"/>
        </w:tblCellMar>
        <w:tblLook w:val="04A0" w:firstRow="1" w:lastRow="0" w:firstColumn="1" w:lastColumn="0" w:noHBand="0" w:noVBand="1"/>
      </w:tblPr>
      <w:tblGrid>
        <w:gridCol w:w="483"/>
        <w:gridCol w:w="549"/>
        <w:gridCol w:w="550"/>
        <w:gridCol w:w="549"/>
        <w:gridCol w:w="549"/>
        <w:gridCol w:w="549"/>
        <w:gridCol w:w="550"/>
        <w:gridCol w:w="549"/>
        <w:gridCol w:w="549"/>
        <w:gridCol w:w="550"/>
        <w:gridCol w:w="548"/>
        <w:gridCol w:w="549"/>
        <w:gridCol w:w="549"/>
        <w:gridCol w:w="601"/>
        <w:gridCol w:w="603"/>
      </w:tblGrid>
      <w:tr w:rsidR="00857314" w:rsidRPr="00857314" w14:paraId="07C2ED0C" w14:textId="77777777" w:rsidTr="00857314">
        <w:trPr>
          <w:trHeight w:val="486"/>
          <w:jc w:val="center"/>
        </w:trPr>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9779CB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素质</w:t>
            </w:r>
          </w:p>
        </w:tc>
        <w:tc>
          <w:tcPr>
            <w:tcW w:w="7794" w:type="dxa"/>
            <w:gridSpan w:val="1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C3348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学生综合素质</w:t>
            </w:r>
          </w:p>
        </w:tc>
      </w:tr>
      <w:tr w:rsidR="00857314" w:rsidRPr="00857314" w14:paraId="595E5374" w14:textId="77777777" w:rsidTr="00857314">
        <w:trPr>
          <w:trHeight w:val="811"/>
          <w:jc w:val="center"/>
        </w:trPr>
        <w:tc>
          <w:tcPr>
            <w:tcW w:w="4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0C9C3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类别</w:t>
            </w:r>
          </w:p>
        </w:tc>
        <w:tc>
          <w:tcPr>
            <w:tcW w:w="2746"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D17598"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思想道德素质</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09927FB"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科学文化素质</w:t>
            </w:r>
          </w:p>
        </w:tc>
        <w:tc>
          <w:tcPr>
            <w:tcW w:w="10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E9F810F"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健康素质</w:t>
            </w:r>
          </w:p>
        </w:tc>
        <w:tc>
          <w:tcPr>
            <w:tcW w:w="10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826CAC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美育素质</w:t>
            </w:r>
          </w:p>
        </w:tc>
        <w:tc>
          <w:tcPr>
            <w:tcW w:w="1098"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3D3D3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劳动素质</w:t>
            </w:r>
          </w:p>
        </w:tc>
        <w:tc>
          <w:tcPr>
            <w:tcW w:w="120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6178A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素质拓展</w:t>
            </w:r>
          </w:p>
        </w:tc>
      </w:tr>
      <w:tr w:rsidR="00857314" w:rsidRPr="00857314" w14:paraId="275F13C2" w14:textId="77777777" w:rsidTr="00857314">
        <w:trPr>
          <w:trHeight w:val="1134"/>
          <w:jc w:val="center"/>
        </w:trPr>
        <w:tc>
          <w:tcPr>
            <w:tcW w:w="4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B474F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指标</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FF7E9D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政治思想</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D1D8B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道德修养</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73732B"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集体观念</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516032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学习态度</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884A4E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遵纪守法</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3B7C7D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学业水平</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79DE8B"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体质健康</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5B3BC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课外锻炼</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10635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文明素养</w:t>
            </w:r>
          </w:p>
        </w:tc>
        <w:tc>
          <w:tcPr>
            <w:tcW w:w="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BF964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审美素养</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4F44EC6"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劳动观念</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7ED1E1"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劳动表现</w:t>
            </w:r>
          </w:p>
        </w:tc>
        <w:tc>
          <w:tcPr>
            <w:tcW w:w="6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B46774F"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人文素养</w:t>
            </w:r>
          </w:p>
        </w:tc>
        <w:tc>
          <w:tcPr>
            <w:tcW w:w="6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5BF1FC" w14:textId="77777777" w:rsidR="00857314" w:rsidRPr="00857314" w:rsidRDefault="00857314" w:rsidP="00857314">
            <w:pPr>
              <w:widowControl/>
              <w:spacing w:after="150" w:line="240" w:lineRule="auto"/>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创新实践</w:t>
            </w:r>
          </w:p>
        </w:tc>
      </w:tr>
      <w:tr w:rsidR="00857314" w:rsidRPr="00857314" w14:paraId="372D0ECC" w14:textId="77777777" w:rsidTr="00857314">
        <w:trPr>
          <w:trHeight w:val="588"/>
          <w:jc w:val="center"/>
        </w:trPr>
        <w:tc>
          <w:tcPr>
            <w:tcW w:w="48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585D0B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分值</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A4009F"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3B8CA4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335AD3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D43B8A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A0FC10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96DED28"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70</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3004C8"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23419D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5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3D014E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BE22C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9481B4E"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5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E4C6D56"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120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0B223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基本分1分+奖励分5分</w:t>
            </w:r>
          </w:p>
        </w:tc>
      </w:tr>
    </w:tbl>
    <w:p w14:paraId="569D6806"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（二）分值分配</w:t>
      </w:r>
    </w:p>
    <w:p w14:paraId="6FAC85B1"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学生综合素质包括思想道德素质、科学文化素质、健康素质、美育素质、劳动素质、素质拓展六个部分。思想道德素质、科学文化素质、健康素质、美育素质、劳动素质总分为100分，其中思想道德素质15分、科学文化素质70分、健康素质5分、美育素质5分、劳动素质5分；素质拓展分6分。</w:t>
      </w:r>
    </w:p>
    <w:p w14:paraId="4891DD7F"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（三）测评总分计算办法</w:t>
      </w:r>
    </w:p>
    <w:p w14:paraId="1EEB3744"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综合素质测评总分=思想道德素质分＋科学文化素质分＋健康素质分+美育素质分+劳动素质分+素质拓展分－处罚分</w:t>
      </w:r>
    </w:p>
    <w:p w14:paraId="40B3F548"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黑体" w:eastAsia="黑体" w:hAnsi="黑体" w:cs="宋体" w:hint="eastAsia"/>
          <w:color w:val="333333"/>
          <w:kern w:val="0"/>
          <w:sz w:val="32"/>
          <w:szCs w:val="32"/>
        </w:rPr>
        <w:t>二、评分细则</w:t>
      </w:r>
    </w:p>
    <w:p w14:paraId="52D5B33B"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（一）思想道德素质分：该项由五项指标构成，其中，15-13（含13）分为“优”，13-11（含11）分为“良”，11-9（含9）分为“合格”，9分以下为“不合格”，具体评分标准见附件1。</w:t>
      </w:r>
    </w:p>
    <w:p w14:paraId="6B49C3B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（二）科学文化素质分：该项由一学年的学业水平综合评定</w:t>
      </w:r>
    </w:p>
    <w:p w14:paraId="07E6F352"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科学文化素质分= [（平均学分绩点-1）×10＋60 ]×70%</w:t>
      </w:r>
    </w:p>
    <w:p w14:paraId="4211332E" w14:textId="548661E6" w:rsidR="00857314" w:rsidRPr="00857314" w:rsidRDefault="00857314" w:rsidP="00857314">
      <w:pPr>
        <w:widowControl/>
        <w:shd w:val="clear" w:color="auto" w:fill="FFFFFF"/>
        <w:spacing w:after="150" w:line="240" w:lineRule="auto"/>
        <w:jc w:val="center"/>
        <w:rPr>
          <w:rFonts w:ascii="Helvetica" w:eastAsia="宋体" w:hAnsi="Helvetica" w:cs="宋体"/>
          <w:color w:val="333333"/>
          <w:kern w:val="0"/>
        </w:rPr>
      </w:pPr>
      <w:r w:rsidRPr="00857314">
        <w:rPr>
          <w:rFonts w:ascii="仿宋_GB2312" w:eastAsia="仿宋_GB2312" w:hAnsi="Helvetica" w:cs="宋体"/>
          <w:noProof/>
          <w:color w:val="333333"/>
          <w:kern w:val="0"/>
          <w:sz w:val="28"/>
          <w:szCs w:val="28"/>
        </w:rPr>
        <w:drawing>
          <wp:inline distT="0" distB="0" distL="0" distR="0" wp14:anchorId="1ED7FC6E" wp14:editId="6D50EC4E">
            <wp:extent cx="2705100"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419100"/>
                    </a:xfrm>
                    <a:prstGeom prst="rect">
                      <a:avLst/>
                    </a:prstGeom>
                    <a:noFill/>
                    <a:ln>
                      <a:noFill/>
                    </a:ln>
                  </pic:spPr>
                </pic:pic>
              </a:graphicData>
            </a:graphic>
          </wp:inline>
        </w:drawing>
      </w:r>
    </w:p>
    <w:p w14:paraId="28E553DD"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课程学分绩点＝课程绩点×课程学分</w:t>
      </w:r>
    </w:p>
    <w:p w14:paraId="00CF0B33"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注：</w:t>
      </w:r>
    </w:p>
    <w:p w14:paraId="21ED42B3"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1.主修专业课程是指本专业指导性教学计划所要求修读的全部课程。</w:t>
      </w:r>
    </w:p>
    <w:p w14:paraId="26249616"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2.一学年内，如有不及格课程重修（补考）后通过的学分绩点以1计；如重修（补考）后没有通过学分绩点记为0；已获学分课程再次重修的，成绩及学分不计入综合测评体系。</w:t>
      </w:r>
    </w:p>
    <w:p w14:paraId="649E8CCA"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3.“旷考”课程学分计入，学分绩点记为0。</w:t>
      </w:r>
    </w:p>
    <w:p w14:paraId="318C0BD2" w14:textId="736BCA9E"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4.百分制、五级制、二级制及课程绩点的换算关系为：</w:t>
      </w:r>
    </w:p>
    <w:tbl>
      <w:tblPr>
        <w:tblW w:w="0" w:type="auto"/>
        <w:jc w:val="center"/>
        <w:tblCellMar>
          <w:left w:w="0" w:type="dxa"/>
          <w:right w:w="0" w:type="dxa"/>
        </w:tblCellMar>
        <w:tblLook w:val="04A0" w:firstRow="1" w:lastRow="0" w:firstColumn="1" w:lastColumn="0" w:noHBand="0" w:noVBand="1"/>
      </w:tblPr>
      <w:tblGrid>
        <w:gridCol w:w="1144"/>
        <w:gridCol w:w="1144"/>
        <w:gridCol w:w="1216"/>
        <w:gridCol w:w="1216"/>
        <w:gridCol w:w="618"/>
        <w:gridCol w:w="599"/>
        <w:gridCol w:w="1216"/>
        <w:gridCol w:w="1133"/>
      </w:tblGrid>
      <w:tr w:rsidR="00857314" w:rsidRPr="00857314" w14:paraId="6AC585F3" w14:textId="77777777" w:rsidTr="00857314">
        <w:trPr>
          <w:trHeight w:val="454"/>
          <w:jc w:val="center"/>
        </w:trPr>
        <w:tc>
          <w:tcPr>
            <w:tcW w:w="1144" w:type="dxa"/>
            <w:vMerge w:val="restart"/>
            <w:tcBorders>
              <w:top w:val="single" w:sz="8" w:space="0" w:color="00000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14:paraId="64AE3EC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百分制</w:t>
            </w:r>
          </w:p>
        </w:tc>
        <w:tc>
          <w:tcPr>
            <w:tcW w:w="1144"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AAF059"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成绩</w:t>
            </w:r>
          </w:p>
        </w:tc>
        <w:tc>
          <w:tcPr>
            <w:tcW w:w="121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D3459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100-90</w:t>
            </w:r>
          </w:p>
        </w:tc>
        <w:tc>
          <w:tcPr>
            <w:tcW w:w="121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20D791"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89-80</w:t>
            </w:r>
          </w:p>
        </w:tc>
        <w:tc>
          <w:tcPr>
            <w:tcW w:w="1217" w:type="dxa"/>
            <w:gridSpan w:val="2"/>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FAB43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79-70</w:t>
            </w:r>
          </w:p>
        </w:tc>
        <w:tc>
          <w:tcPr>
            <w:tcW w:w="121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E1447A"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69-60</w:t>
            </w:r>
          </w:p>
        </w:tc>
        <w:tc>
          <w:tcPr>
            <w:tcW w:w="1133"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A0CDEA0"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＜60</w:t>
            </w:r>
          </w:p>
        </w:tc>
      </w:tr>
      <w:tr w:rsidR="00857314" w:rsidRPr="00857314" w14:paraId="333D00BA" w14:textId="77777777" w:rsidTr="00857314">
        <w:trPr>
          <w:trHeight w:val="454"/>
          <w:jc w:val="center"/>
        </w:trPr>
        <w:tc>
          <w:tcPr>
            <w:tcW w:w="0" w:type="auto"/>
            <w:vMerge/>
            <w:tcBorders>
              <w:top w:val="single" w:sz="8" w:space="0" w:color="000000"/>
              <w:left w:val="single" w:sz="8" w:space="0" w:color="000000"/>
              <w:bottom w:val="single" w:sz="8" w:space="0" w:color="auto"/>
              <w:right w:val="single" w:sz="8" w:space="0" w:color="auto"/>
            </w:tcBorders>
            <w:shd w:val="clear" w:color="auto" w:fill="auto"/>
            <w:vAlign w:val="center"/>
            <w:hideMark/>
          </w:tcPr>
          <w:p w14:paraId="36B0B5B6" w14:textId="77777777" w:rsidR="00857314" w:rsidRPr="00857314" w:rsidRDefault="00857314" w:rsidP="00857314">
            <w:pPr>
              <w:widowControl/>
              <w:spacing w:line="240" w:lineRule="auto"/>
              <w:jc w:val="left"/>
              <w:rPr>
                <w:rFonts w:ascii="宋体" w:eastAsia="宋体" w:hAnsi="宋体" w:cs="宋体"/>
                <w:kern w:val="0"/>
                <w:sz w:val="24"/>
                <w:szCs w:val="24"/>
              </w:rPr>
            </w:pP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37D97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对应绩点</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9E759B"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5.0-4.0</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12B12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3.9-3.0</w:t>
            </w:r>
          </w:p>
        </w:tc>
        <w:tc>
          <w:tcPr>
            <w:tcW w:w="12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23B41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2.9-2.0</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C168D2"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1.9-1.0</w:t>
            </w:r>
          </w:p>
        </w:tc>
        <w:tc>
          <w:tcPr>
            <w:tcW w:w="11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11DF012E"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0</w:t>
            </w:r>
          </w:p>
        </w:tc>
      </w:tr>
      <w:tr w:rsidR="00857314" w:rsidRPr="00857314" w14:paraId="4BD69459" w14:textId="77777777" w:rsidTr="00857314">
        <w:trPr>
          <w:trHeight w:val="454"/>
          <w:jc w:val="center"/>
        </w:trPr>
        <w:tc>
          <w:tcPr>
            <w:tcW w:w="1144" w:type="dxa"/>
            <w:vMerge w:val="restart"/>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14:paraId="4651B031"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五级制</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E132B9"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成绩</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63C4C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优秀</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8059B6"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良好</w:t>
            </w:r>
          </w:p>
        </w:tc>
        <w:tc>
          <w:tcPr>
            <w:tcW w:w="12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E7208"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中等</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6991B8"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及格</w:t>
            </w:r>
          </w:p>
        </w:tc>
        <w:tc>
          <w:tcPr>
            <w:tcW w:w="11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4D08209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不及格</w:t>
            </w:r>
          </w:p>
        </w:tc>
      </w:tr>
      <w:tr w:rsidR="00857314" w:rsidRPr="00857314" w14:paraId="44F78925" w14:textId="77777777" w:rsidTr="00857314">
        <w:trPr>
          <w:trHeight w:val="454"/>
          <w:jc w:val="center"/>
        </w:trPr>
        <w:tc>
          <w:tcPr>
            <w:tcW w:w="0" w:type="auto"/>
            <w:vMerge/>
            <w:tcBorders>
              <w:top w:val="nil"/>
              <w:left w:val="single" w:sz="8" w:space="0" w:color="000000"/>
              <w:bottom w:val="single" w:sz="8" w:space="0" w:color="auto"/>
              <w:right w:val="single" w:sz="8" w:space="0" w:color="auto"/>
            </w:tcBorders>
            <w:shd w:val="clear" w:color="auto" w:fill="auto"/>
            <w:vAlign w:val="center"/>
            <w:hideMark/>
          </w:tcPr>
          <w:p w14:paraId="0205F839" w14:textId="77777777" w:rsidR="00857314" w:rsidRPr="00857314" w:rsidRDefault="00857314" w:rsidP="00857314">
            <w:pPr>
              <w:widowControl/>
              <w:spacing w:line="240" w:lineRule="auto"/>
              <w:jc w:val="left"/>
              <w:rPr>
                <w:rFonts w:ascii="宋体" w:eastAsia="宋体" w:hAnsi="宋体" w:cs="宋体"/>
                <w:kern w:val="0"/>
                <w:sz w:val="24"/>
                <w:szCs w:val="24"/>
              </w:rPr>
            </w:pP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1046A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对应绩点</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74158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4.5</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6A626A"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3.5</w:t>
            </w:r>
          </w:p>
        </w:tc>
        <w:tc>
          <w:tcPr>
            <w:tcW w:w="121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4E40D7"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2.5</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1A6B1F"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1.5</w:t>
            </w:r>
          </w:p>
        </w:tc>
        <w:tc>
          <w:tcPr>
            <w:tcW w:w="113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0A8C5723"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0</w:t>
            </w:r>
          </w:p>
        </w:tc>
      </w:tr>
      <w:tr w:rsidR="00857314" w:rsidRPr="00857314" w14:paraId="24F58A6C" w14:textId="77777777" w:rsidTr="00857314">
        <w:trPr>
          <w:trHeight w:val="454"/>
          <w:jc w:val="center"/>
        </w:trPr>
        <w:tc>
          <w:tcPr>
            <w:tcW w:w="1144" w:type="dxa"/>
            <w:vMerge w:val="restar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14:paraId="67552974"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二级制</w:t>
            </w:r>
          </w:p>
        </w:tc>
        <w:tc>
          <w:tcPr>
            <w:tcW w:w="11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43F40"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成绩</w:t>
            </w:r>
          </w:p>
        </w:tc>
        <w:tc>
          <w:tcPr>
            <w:tcW w:w="305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9B5A9C"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合格</w:t>
            </w:r>
          </w:p>
        </w:tc>
        <w:tc>
          <w:tcPr>
            <w:tcW w:w="2948"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14:paraId="78EFDCC6"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不合格</w:t>
            </w:r>
          </w:p>
        </w:tc>
      </w:tr>
      <w:tr w:rsidR="00857314" w:rsidRPr="00857314" w14:paraId="1501DB64" w14:textId="77777777" w:rsidTr="00857314">
        <w:trPr>
          <w:trHeight w:val="454"/>
          <w:jc w:val="center"/>
        </w:trPr>
        <w:tc>
          <w:tcPr>
            <w:tcW w:w="0" w:type="auto"/>
            <w:vMerge/>
            <w:tcBorders>
              <w:top w:val="nil"/>
              <w:left w:val="single" w:sz="8" w:space="0" w:color="000000"/>
              <w:bottom w:val="single" w:sz="8" w:space="0" w:color="000000"/>
              <w:right w:val="single" w:sz="8" w:space="0" w:color="auto"/>
            </w:tcBorders>
            <w:shd w:val="clear" w:color="auto" w:fill="auto"/>
            <w:vAlign w:val="center"/>
            <w:hideMark/>
          </w:tcPr>
          <w:p w14:paraId="7ACC19B0" w14:textId="77777777" w:rsidR="00857314" w:rsidRPr="00857314" w:rsidRDefault="00857314" w:rsidP="00857314">
            <w:pPr>
              <w:widowControl/>
              <w:spacing w:line="240" w:lineRule="auto"/>
              <w:jc w:val="left"/>
              <w:rPr>
                <w:rFonts w:ascii="宋体" w:eastAsia="宋体" w:hAnsi="宋体" w:cs="宋体"/>
                <w:kern w:val="0"/>
                <w:sz w:val="24"/>
                <w:szCs w:val="24"/>
              </w:rPr>
            </w:pPr>
          </w:p>
        </w:tc>
        <w:tc>
          <w:tcPr>
            <w:tcW w:w="1144"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3026795"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对应绩点</w:t>
            </w:r>
          </w:p>
        </w:tc>
        <w:tc>
          <w:tcPr>
            <w:tcW w:w="3050" w:type="dxa"/>
            <w:gridSpan w:val="3"/>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E4C6F50"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3</w:t>
            </w:r>
          </w:p>
        </w:tc>
        <w:tc>
          <w:tcPr>
            <w:tcW w:w="2948"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56FBAD" w14:textId="77777777" w:rsidR="00857314" w:rsidRPr="00857314" w:rsidRDefault="00857314" w:rsidP="00857314">
            <w:pPr>
              <w:widowControl/>
              <w:spacing w:line="240" w:lineRule="auto"/>
              <w:ind w:left="-105" w:right="-105"/>
              <w:jc w:val="center"/>
              <w:rPr>
                <w:rFonts w:ascii="宋体" w:eastAsia="宋体" w:hAnsi="宋体" w:cs="宋体"/>
                <w:kern w:val="0"/>
                <w:sz w:val="24"/>
                <w:szCs w:val="24"/>
              </w:rPr>
            </w:pPr>
            <w:r w:rsidRPr="00857314">
              <w:rPr>
                <w:rFonts w:ascii="仿宋_GB2312" w:eastAsia="仿宋_GB2312" w:hAnsi="宋体" w:cs="宋体" w:hint="eastAsia"/>
                <w:kern w:val="0"/>
                <w:sz w:val="24"/>
                <w:szCs w:val="24"/>
              </w:rPr>
              <w:t>0</w:t>
            </w:r>
          </w:p>
        </w:tc>
      </w:tr>
    </w:tbl>
    <w:p w14:paraId="5B15195D"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（三）健康素质分：该项分为体质健康和课外锻炼两部分，体质健康评价得分由学校体育部根据学生体测成绩提供，具体评分标准见附件1。</w:t>
      </w:r>
    </w:p>
    <w:p w14:paraId="537AD9FA"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（四）美育素质分：该项分为文明素养和审美素养两项指标。其中，5-4.5（含4.5）分为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优</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，4.5-4（含4）分为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良</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，4-3（含3）分为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合格</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，3分以下为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不合格</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，具体评分标准见附件1。</w:t>
      </w:r>
    </w:p>
    <w:p w14:paraId="2B0939D1"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（五）劳动素质分：该项分为劳动观念和劳动表现两项指标，其中，5-4.5（含4.5）分为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优</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，4.5-4（含4）分为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良</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，4-3（含3）分为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合格</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，3分以下为</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不合格</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，具体评分标准见附件1。</w:t>
      </w:r>
    </w:p>
    <w:p w14:paraId="1BFBD348"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（六）素质拓展分：该项分为人文素养和创新实践两部分，计算方法为：基本分＋奖励分，其中基本分为1分，奖励分5分。</w:t>
      </w:r>
    </w:p>
    <w:p w14:paraId="26E52828"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1.基本分：积极参加人文素养和创新实践教育活动，满足以下五项要求中的四项要求即可获得基本分1分。如不足四项，每缺一项扣0.2分。</w:t>
      </w:r>
    </w:p>
    <w:p w14:paraId="40424672"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（1）每学年至少参加一次（项）公益性志愿服务活动；</w:t>
      </w:r>
    </w:p>
    <w:p w14:paraId="49955AEE"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（2）每学年至少参加一次（项）年级以上的文化、体育、艺术以及有益于身心健康的校园文化活动；</w:t>
      </w:r>
    </w:p>
    <w:p w14:paraId="01CE3C4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（3）每学年至少参加一次院级以上人文素质或学术科技报告、讲座等；</w:t>
      </w:r>
    </w:p>
    <w:p w14:paraId="5FEBEF4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（4）每学年至少参加一次院级以上各类学术、科技及竞赛活动；</w:t>
      </w:r>
    </w:p>
    <w:p w14:paraId="79481F95"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（5）关注社会热点，广泛涉猎各领域文化知识，积极参加社会实践活动，每学年撰写不少于1500字的学习心得体会或社会实践报告。</w:t>
      </w:r>
    </w:p>
    <w:p w14:paraId="5EF09A54"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2.奖励分：分为人文素养奖励分和创新实践奖励分。</w:t>
      </w:r>
    </w:p>
    <w:p w14:paraId="4F5D6474"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人文素养奖励分主要包括社会工作、精神文明、宿舍建设、文体活动等方面的内容。奖励分见附件2。</w:t>
      </w:r>
    </w:p>
    <w:p w14:paraId="4CE38B1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创新实践奖励分主要包括学生参加各类学习竞赛和各类学习科研活动等方面的内容。奖励分见附件3。</w:t>
      </w:r>
    </w:p>
    <w:p w14:paraId="505C8A43"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创业实践奖励分主要包括创业企业经营类和创业法人荣誉类等方面的内容。奖励分见附件4。</w:t>
      </w:r>
    </w:p>
    <w:p w14:paraId="0931050F"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（七）处罚分：综合测评时学生如有处罚及违纪处分情况，从综合测评中扣除相应分值。处罚分见附件5。</w:t>
      </w:r>
    </w:p>
    <w:p w14:paraId="389BC653"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黑体" w:eastAsia="黑体" w:hAnsi="黑体" w:cs="宋体" w:hint="eastAsia"/>
          <w:color w:val="333333"/>
          <w:kern w:val="0"/>
          <w:sz w:val="32"/>
          <w:szCs w:val="32"/>
        </w:rPr>
        <w:t>三、组织实施</w:t>
      </w:r>
    </w:p>
    <w:p w14:paraId="4B1428A1"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（一）测评工作一般安排在新学年初进行，在综合素质测评的基础上进行优秀学生评选和各类奖学金评定工作。</w:t>
      </w:r>
    </w:p>
    <w:p w14:paraId="5F679775"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（二）测评工作在学校的统一布置下，由各学院具体组织实施。各学院成立</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大学生综合素质测评暨评先、奖（助）学金评定</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工作领导小组；各学生班成立</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综合素质测评暨评先、奖（助）学金评定</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工作小组（人数一般为本班级人数的1/3，也可根据班级具体情况确定适当人数，但不得低于本班级人数的1/4），其成员由班主任（或辅导员）、党支部书记（党小组组长）、班长、团支书及学生代表(应有寝室长作为学生代表)组成，班主任（或辅导员）任组长，党支部书记（党小组组长）、班长、团支部书记任副组长。</w:t>
      </w:r>
    </w:p>
    <w:p w14:paraId="242A3DB8" w14:textId="42668E3E"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（三）素质拓展项中的基本分由学生提供相应证明材料，各班</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综合素质测评暨评先、奖（助）学金评定</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工作小组做好相应活动的记录及材料的认定。</w:t>
      </w:r>
    </w:p>
    <w:p w14:paraId="038E89FF"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（四）实施步骤</w:t>
      </w:r>
    </w:p>
    <w:p w14:paraId="0E50C06D"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1.学年鉴定</w:t>
      </w:r>
    </w:p>
    <w:p w14:paraId="4AF2BF55"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（1）个人小结：学生本人对上学年表现进行个人小结，自我鉴定。</w:t>
      </w:r>
    </w:p>
    <w:p w14:paraId="5DA30063"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（2）班集体鉴定意见：在个人小结的基础上，由班级测评小组对学生进行评议，写出班级评语。</w:t>
      </w:r>
    </w:p>
    <w:p w14:paraId="5152AE01"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2.测评评分</w:t>
      </w:r>
    </w:p>
    <w:p w14:paraId="6BEA469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（1）自我评分：按测评标准逐项实事求是地自我评分，累积得出自评分。</w:t>
      </w:r>
    </w:p>
    <w:p w14:paraId="15A3BE3E"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（2）互评：由各学生班测评工作小组按</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学生综合素质基本评价体系（见附件1）</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执行。测评工作小组成员对每位同学的每项指标要素做出评价，逐项给出分数，按照去掉一个最高分，去掉一个最低分取平均值的办法，最后逐项算出互评分。</w:t>
      </w:r>
    </w:p>
    <w:p w14:paraId="45C615D5"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互评成绩＝（本班学生测评工作小组成员评议分数之和－一个最高分－一个最低分）</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（本班学生测评工作小组成员数－2）。</w:t>
      </w:r>
    </w:p>
    <w:p w14:paraId="5B4066E4"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（3）辅导员评分：由辅导员按测评标准评分。</w:t>
      </w:r>
    </w:p>
    <w:p w14:paraId="50B822DA"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（4）测评综合分：分值保留小数点后两位数字。</w:t>
      </w:r>
    </w:p>
    <w:p w14:paraId="431DDFDC"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lastRenderedPageBreak/>
        <w:t>测评综合分＝自评分</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10% +</w:t>
      </w:r>
      <w:r w:rsidRPr="00857314">
        <w:rPr>
          <w:rFonts w:ascii="仿宋_GB2312" w:eastAsia="仿宋_GB2312" w:hAnsi="Helvetica" w:cs="宋体" w:hint="eastAsia"/>
          <w:color w:val="333333"/>
          <w:kern w:val="0"/>
          <w:sz w:val="32"/>
          <w:szCs w:val="32"/>
        </w:rPr>
        <w:t> </w:t>
      </w:r>
      <w:r w:rsidRPr="00857314">
        <w:rPr>
          <w:rFonts w:ascii="仿宋_GB2312" w:eastAsia="仿宋_GB2312" w:hAnsi="Helvetica" w:cs="宋体" w:hint="eastAsia"/>
          <w:color w:val="333333"/>
          <w:kern w:val="0"/>
          <w:sz w:val="32"/>
          <w:szCs w:val="32"/>
        </w:rPr>
        <w:t>互评分</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60%+</w:t>
      </w:r>
      <w:r w:rsidRPr="00857314">
        <w:rPr>
          <w:rFonts w:ascii="仿宋_GB2312" w:eastAsia="仿宋_GB2312" w:hAnsi="Helvetica" w:cs="宋体" w:hint="eastAsia"/>
          <w:color w:val="333333"/>
          <w:kern w:val="0"/>
          <w:sz w:val="32"/>
          <w:szCs w:val="32"/>
        </w:rPr>
        <w:t> </w:t>
      </w:r>
      <w:r w:rsidRPr="00857314">
        <w:rPr>
          <w:rFonts w:ascii="仿宋_GB2312" w:eastAsia="仿宋_GB2312" w:hAnsi="Helvetica" w:cs="宋体" w:hint="eastAsia"/>
          <w:color w:val="333333"/>
          <w:kern w:val="0"/>
          <w:sz w:val="32"/>
          <w:szCs w:val="32"/>
        </w:rPr>
        <w:t>辅导员评分</w:t>
      </w:r>
      <w:r w:rsidRPr="00857314">
        <w:rPr>
          <w:rFonts w:ascii="Helvetica" w:eastAsia="宋体" w:hAnsi="Helvetica" w:cs="宋体"/>
          <w:color w:val="333333"/>
          <w:kern w:val="0"/>
          <w:sz w:val="32"/>
          <w:szCs w:val="32"/>
        </w:rPr>
        <w:t>×</w:t>
      </w:r>
      <w:r w:rsidRPr="00857314">
        <w:rPr>
          <w:rFonts w:ascii="仿宋_GB2312" w:eastAsia="仿宋_GB2312" w:hAnsi="Helvetica" w:cs="宋体" w:hint="eastAsia"/>
          <w:color w:val="333333"/>
          <w:kern w:val="0"/>
          <w:sz w:val="32"/>
          <w:szCs w:val="32"/>
        </w:rPr>
        <w:t>30%</w:t>
      </w:r>
    </w:p>
    <w:p w14:paraId="6C21CC84" w14:textId="77777777" w:rsidR="00857314" w:rsidRPr="00857314" w:rsidRDefault="00857314" w:rsidP="00857314">
      <w:pPr>
        <w:widowControl/>
        <w:shd w:val="clear" w:color="auto" w:fill="FFFFFF"/>
        <w:spacing w:after="150" w:line="240" w:lineRule="auto"/>
        <w:ind w:firstLine="640"/>
        <w:rPr>
          <w:rFonts w:ascii="Helvetica" w:eastAsia="宋体" w:hAnsi="Helvetica" w:cs="宋体"/>
          <w:color w:val="333333"/>
          <w:kern w:val="0"/>
        </w:rPr>
      </w:pPr>
      <w:r w:rsidRPr="00857314">
        <w:rPr>
          <w:rFonts w:ascii="仿宋_GB2312" w:eastAsia="仿宋_GB2312" w:hAnsi="Helvetica" w:cs="宋体" w:hint="eastAsia"/>
          <w:color w:val="333333"/>
          <w:kern w:val="0"/>
          <w:sz w:val="32"/>
          <w:szCs w:val="32"/>
        </w:rPr>
        <w:t>（5）按班级公布测评结果。</w:t>
      </w:r>
    </w:p>
    <w:p w14:paraId="20703A99" w14:textId="77777777" w:rsidR="00857314" w:rsidRPr="00857314" w:rsidRDefault="00857314" w:rsidP="00857314">
      <w:pPr>
        <w:jc w:val="center"/>
        <w:rPr>
          <w:rFonts w:ascii="方正小标宋简体" w:eastAsia="方正小标宋简体" w:hint="eastAsia"/>
          <w:sz w:val="36"/>
          <w:szCs w:val="36"/>
        </w:rPr>
      </w:pPr>
    </w:p>
    <w:sectPr w:rsidR="00857314" w:rsidRPr="00857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66"/>
    <w:rsid w:val="00433CE5"/>
    <w:rsid w:val="00765C66"/>
    <w:rsid w:val="00857314"/>
    <w:rsid w:val="00A534F8"/>
    <w:rsid w:val="00D4096B"/>
    <w:rsid w:val="00FA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EDC5"/>
  <w15:chartTrackingRefBased/>
  <w15:docId w15:val="{A570557A-540D-4C29-8DF8-A4B3D0E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2021-06-22T08:23:00Z</dcterms:created>
  <dcterms:modified xsi:type="dcterms:W3CDTF">2021-06-22T08:24:00Z</dcterms:modified>
</cp:coreProperties>
</file>